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B" w:rsidRPr="00E266EB" w:rsidRDefault="00756BBB" w:rsidP="004240B1">
      <w:pPr>
        <w:pStyle w:val="Heading3"/>
        <w:ind w:right="-284"/>
        <w:jc w:val="right"/>
        <w:rPr>
          <w:sz w:val="20"/>
        </w:rPr>
      </w:pPr>
      <w:r w:rsidRPr="00E266EB">
        <w:rPr>
          <w:sz w:val="20"/>
        </w:rPr>
        <w:t>Приложение № 2</w:t>
      </w:r>
    </w:p>
    <w:p w:rsidR="00756BBB" w:rsidRPr="00E266EB" w:rsidRDefault="00756BBB" w:rsidP="004240B1">
      <w:pPr>
        <w:tabs>
          <w:tab w:val="left" w:pos="5103"/>
          <w:tab w:val="left" w:pos="5245"/>
        </w:tabs>
        <w:ind w:left="-567" w:right="-284"/>
        <w:jc w:val="right"/>
      </w:pPr>
      <w:r w:rsidRPr="00E266EB">
        <w:t xml:space="preserve">к Договору доверительного управления  </w:t>
      </w:r>
    </w:p>
    <w:p w:rsidR="00756BBB" w:rsidRPr="00E266EB" w:rsidRDefault="00756BBB" w:rsidP="004240B1">
      <w:pPr>
        <w:ind w:left="-567" w:right="-284"/>
        <w:jc w:val="right"/>
      </w:pPr>
      <w:r w:rsidRPr="00E266EB">
        <w:t>№ ___ от  «___»  __________ 20___г.</w:t>
      </w:r>
    </w:p>
    <w:p w:rsidR="00756BBB" w:rsidRPr="004240B1" w:rsidRDefault="00756BBB" w:rsidP="00E266EB">
      <w:pPr>
        <w:ind w:right="-284"/>
        <w:rPr>
          <w:sz w:val="16"/>
          <w:szCs w:val="16"/>
        </w:rPr>
      </w:pPr>
    </w:p>
    <w:p w:rsidR="00756BBB" w:rsidRPr="00A83DDC" w:rsidRDefault="00756BBB" w:rsidP="004240B1">
      <w:pPr>
        <w:ind w:left="-567" w:right="-284"/>
        <w:jc w:val="center"/>
        <w:rPr>
          <w:b/>
          <w:sz w:val="22"/>
          <w:szCs w:val="22"/>
        </w:rPr>
      </w:pPr>
      <w:r w:rsidRPr="00A83DDC">
        <w:rPr>
          <w:b/>
          <w:sz w:val="22"/>
          <w:szCs w:val="22"/>
        </w:rPr>
        <w:t>ИНВЕСТИЦИОННАЯ ДЕКЛАРАЦИЯ</w:t>
      </w:r>
    </w:p>
    <w:p w:rsidR="00756BBB" w:rsidRPr="004240B1" w:rsidRDefault="00756BBB" w:rsidP="004240B1">
      <w:pPr>
        <w:ind w:left="-567" w:right="-284"/>
        <w:jc w:val="center"/>
        <w:rPr>
          <w:b/>
          <w:sz w:val="16"/>
          <w:szCs w:val="16"/>
        </w:rPr>
      </w:pPr>
    </w:p>
    <w:p w:rsidR="00756BBB" w:rsidRPr="00C8717E" w:rsidRDefault="00756BBB" w:rsidP="00E266EB">
      <w:pPr>
        <w:pStyle w:val="ListParagraph"/>
        <w:widowControl w:val="0"/>
        <w:numPr>
          <w:ilvl w:val="0"/>
          <w:numId w:val="1"/>
        </w:numPr>
        <w:spacing w:before="120" w:after="0"/>
        <w:ind w:left="-210" w:right="-284" w:hanging="357"/>
        <w:contextualSpacing w:val="0"/>
        <w:rPr>
          <w:rFonts w:ascii="Times New Roman" w:hAnsi="Times New Roman"/>
        </w:rPr>
      </w:pPr>
      <w:r w:rsidRPr="00C8717E">
        <w:rPr>
          <w:rFonts w:ascii="Times New Roman" w:hAnsi="Times New Roman"/>
        </w:rPr>
        <w:t>Управляющий осущест</w:t>
      </w:r>
      <w:r>
        <w:rPr>
          <w:rFonts w:ascii="Times New Roman" w:hAnsi="Times New Roman"/>
        </w:rPr>
        <w:t>вляет доверительное управление О</w:t>
      </w:r>
      <w:r w:rsidRPr="00C8717E">
        <w:rPr>
          <w:rFonts w:ascii="Times New Roman" w:hAnsi="Times New Roman"/>
        </w:rPr>
        <w:t xml:space="preserve">бъектами в интересах Учредителя управления или в интересах </w:t>
      </w:r>
      <w:r>
        <w:rPr>
          <w:rFonts w:ascii="Times New Roman" w:hAnsi="Times New Roman"/>
        </w:rPr>
        <w:t>указанного им лица (</w:t>
      </w:r>
      <w:r w:rsidRPr="00C8717E">
        <w:rPr>
          <w:rFonts w:ascii="Times New Roman" w:hAnsi="Times New Roman"/>
        </w:rPr>
        <w:t>выгодоприобретателя</w:t>
      </w:r>
      <w:r>
        <w:rPr>
          <w:rFonts w:ascii="Times New Roman" w:hAnsi="Times New Roman"/>
        </w:rPr>
        <w:t>)</w:t>
      </w:r>
      <w:r w:rsidRPr="00C8717E">
        <w:rPr>
          <w:rFonts w:ascii="Times New Roman" w:hAnsi="Times New Roman"/>
        </w:rPr>
        <w:t xml:space="preserve"> в соответствии с законодательством </w:t>
      </w:r>
      <w:r>
        <w:rPr>
          <w:rFonts w:ascii="Times New Roman" w:hAnsi="Times New Roman"/>
        </w:rPr>
        <w:t>РФ</w:t>
      </w:r>
      <w:r w:rsidRPr="00C8717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условиями Договора и настоящей и</w:t>
      </w:r>
      <w:r w:rsidRPr="00C8717E">
        <w:rPr>
          <w:rFonts w:ascii="Times New Roman" w:hAnsi="Times New Roman"/>
        </w:rPr>
        <w:t xml:space="preserve">нвестиционной декларацией, являющейся неотъемлемой частью Договора. </w:t>
      </w:r>
    </w:p>
    <w:p w:rsidR="00756BBB" w:rsidRPr="00C8717E" w:rsidRDefault="00756BBB" w:rsidP="00E266EB">
      <w:pPr>
        <w:pStyle w:val="ListParagraph"/>
        <w:widowControl w:val="0"/>
        <w:numPr>
          <w:ilvl w:val="0"/>
          <w:numId w:val="1"/>
        </w:numPr>
        <w:shd w:val="clear" w:color="auto" w:fill="FFFFFF"/>
        <w:spacing w:before="120" w:after="0"/>
        <w:ind w:left="-210" w:right="-284" w:hanging="357"/>
        <w:contextualSpacing w:val="0"/>
        <w:rPr>
          <w:rFonts w:ascii="Times New Roman" w:hAnsi="Times New Roman"/>
        </w:rPr>
      </w:pPr>
      <w:r w:rsidRPr="00C8717E">
        <w:rPr>
          <w:rFonts w:ascii="Times New Roman" w:hAnsi="Times New Roman"/>
        </w:rPr>
        <w:t>Целью доверительного управления является достижение наибольшей коммерческ</w:t>
      </w:r>
      <w:r>
        <w:rPr>
          <w:rFonts w:ascii="Times New Roman" w:hAnsi="Times New Roman"/>
        </w:rPr>
        <w:t>ой эффективности использования О</w:t>
      </w:r>
      <w:r w:rsidRPr="00C8717E">
        <w:rPr>
          <w:rFonts w:ascii="Times New Roman" w:hAnsi="Times New Roman"/>
        </w:rPr>
        <w:t>бъек</w:t>
      </w:r>
      <w:r>
        <w:rPr>
          <w:rFonts w:ascii="Times New Roman" w:hAnsi="Times New Roman"/>
        </w:rPr>
        <w:t>тов</w:t>
      </w:r>
      <w:r w:rsidRPr="00C8717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56BBB" w:rsidRPr="00C8717E" w:rsidRDefault="00756BBB" w:rsidP="00E266EB">
      <w:pPr>
        <w:pStyle w:val="ListParagraph"/>
        <w:widowControl w:val="0"/>
        <w:numPr>
          <w:ilvl w:val="0"/>
          <w:numId w:val="1"/>
        </w:numPr>
        <w:spacing w:before="120" w:after="0"/>
        <w:ind w:left="-210" w:right="-284" w:hanging="357"/>
        <w:contextualSpacing w:val="0"/>
        <w:rPr>
          <w:rFonts w:ascii="Times New Roman" w:hAnsi="Times New Roman"/>
        </w:rPr>
      </w:pPr>
      <w:r w:rsidRPr="00C8717E">
        <w:rPr>
          <w:rFonts w:ascii="Times New Roman" w:hAnsi="Times New Roman"/>
        </w:rPr>
        <w:t>Стратегия, выбранная Учредителем управления по Договору: __________________</w:t>
      </w:r>
    </w:p>
    <w:p w:rsidR="00756BBB" w:rsidRPr="00C8717E" w:rsidRDefault="00756BBB" w:rsidP="00E266EB">
      <w:pPr>
        <w:pStyle w:val="ListParagraph"/>
        <w:widowControl w:val="0"/>
        <w:numPr>
          <w:ilvl w:val="0"/>
          <w:numId w:val="1"/>
        </w:numPr>
        <w:spacing w:before="120" w:after="0"/>
        <w:ind w:left="-210" w:right="-28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Перечень и структура О</w:t>
      </w:r>
      <w:r w:rsidRPr="00C8717E">
        <w:rPr>
          <w:rFonts w:ascii="Times New Roman" w:hAnsi="Times New Roman"/>
        </w:rPr>
        <w:t>б</w:t>
      </w:r>
      <w:r>
        <w:rPr>
          <w:rFonts w:ascii="Times New Roman" w:hAnsi="Times New Roman"/>
        </w:rPr>
        <w:t>ъектов</w:t>
      </w:r>
      <w:r w:rsidRPr="00C8717E">
        <w:rPr>
          <w:rFonts w:ascii="Times New Roman" w:hAnsi="Times New Roman"/>
        </w:rPr>
        <w:t>, которую обязан поддерживать Управляющий в течение всего срока действия Договора, определяется Учредителем управления в настоящей Инвестиционной декларации</w:t>
      </w:r>
      <w:r w:rsidRPr="00C8717E">
        <w:rPr>
          <w:rStyle w:val="FootnoteReference"/>
          <w:rFonts w:ascii="Times New Roman" w:hAnsi="Times New Roman"/>
        </w:rPr>
        <w:footnoteReference w:customMarkFollows="1" w:id="2"/>
        <w:t>1</w:t>
      </w:r>
      <w:r w:rsidRPr="00C8717E">
        <w:rPr>
          <w:rFonts w:ascii="Times New Roman" w:hAnsi="Times New Roman"/>
        </w:rPr>
        <w:t>:</w:t>
      </w:r>
    </w:p>
    <w:p w:rsidR="00756BBB" w:rsidRPr="003D77A3" w:rsidRDefault="00756BBB" w:rsidP="004240B1">
      <w:pPr>
        <w:pStyle w:val="ListParagraph"/>
        <w:ind w:left="-567"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9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2492"/>
      </w:tblGrid>
      <w:tr w:rsidR="00756BBB" w:rsidTr="00722211">
        <w:trPr>
          <w:trHeight w:val="358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BBB" w:rsidRPr="00722211" w:rsidRDefault="00756BBB" w:rsidP="00722211">
            <w:pPr>
              <w:pStyle w:val="ListParagraph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>Перечень Объектов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6BBB" w:rsidRPr="00722211" w:rsidRDefault="00756BBB" w:rsidP="00722211">
            <w:pPr>
              <w:pStyle w:val="ListParagraph"/>
              <w:ind w:left="0"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>Структура Объектов, %</w:t>
            </w:r>
          </w:p>
        </w:tc>
      </w:tr>
      <w:tr w:rsidR="00756BBB" w:rsidTr="00722211">
        <w:trPr>
          <w:trHeight w:val="25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>1. Ценные бумаги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85"/>
        </w:trPr>
        <w:tc>
          <w:tcPr>
            <w:tcW w:w="7905" w:type="dxa"/>
          </w:tcPr>
          <w:p w:rsidR="00756BBB" w:rsidRPr="004240B1" w:rsidRDefault="00756BBB" w:rsidP="00722211">
            <w:pPr>
              <w:ind w:right="-284"/>
              <w:jc w:val="both"/>
            </w:pPr>
            <w:r w:rsidRPr="004240B1">
              <w:t>1.1. Государственные ценные бумаги Российской Федерации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4240B1" w:rsidRDefault="00756BBB" w:rsidP="00722211">
            <w:pPr>
              <w:ind w:right="-284"/>
              <w:jc w:val="both"/>
            </w:pPr>
            <w:r w:rsidRPr="004240B1">
              <w:t xml:space="preserve">1.2. Государственные ценные бумаги субъектов Российской Федерации  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1.3. Муниципальные ценные бумаги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1.4. Корпоративные облигации российских эмитентов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        1.4.1. С высокой ликвидностью («голубые фишки»)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        1.4.2. С ограниченной ликвидностью («второй эшелон»)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1.5. Обыкновенные и привилегированные акции российских эмитентов (открытых акционерных обществ)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85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        1.5.1. С высокой ликвидностью («голубые фишки»)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        1.5.2. С ограниченной ликвидностью («второй эшелон»)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        1.5.3. Обращающиеся на внебиржевом рынке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1.6. Паи паевых инвестиционных фондов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1.7. Векселя российских юридических лиц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1.8. Государственные ценные бумаги иностранных государств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1.9. Акции иностранных коммерческих организаций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1.10. Облигации иностранных коммерческих организаций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>2. Производные финансовые инструменты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85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2.1. Биржевые опционные договоры (контракты)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2.2. Биржевые фьючерсные договоры (контракты)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 xml:space="preserve">2.3. Внебиржевые опционные договоры (контракты)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2.4. Внебиржевые фьючерсные договоры (контракты)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 xml:space="preserve">3. Денежные средства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3.1. Российские рубли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sz w:val="20"/>
                <w:szCs w:val="20"/>
              </w:rPr>
              <w:t>3.2. Иностранная валюта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BBB" w:rsidTr="00722211">
        <w:trPr>
          <w:trHeight w:val="270"/>
        </w:trPr>
        <w:tc>
          <w:tcPr>
            <w:tcW w:w="7905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  <w:r w:rsidRPr="00722211">
              <w:rPr>
                <w:rFonts w:ascii="Times New Roman" w:hAnsi="Times New Roman"/>
                <w:b/>
                <w:sz w:val="20"/>
                <w:szCs w:val="20"/>
              </w:rPr>
              <w:t xml:space="preserve">4. Срочные банковские вклады (депозиты) </w:t>
            </w:r>
          </w:p>
        </w:tc>
        <w:tc>
          <w:tcPr>
            <w:tcW w:w="2492" w:type="dxa"/>
          </w:tcPr>
          <w:p w:rsidR="00756BBB" w:rsidRPr="00722211" w:rsidRDefault="00756BBB" w:rsidP="00722211">
            <w:pPr>
              <w:pStyle w:val="ListParagraph"/>
              <w:ind w:left="0"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BBB" w:rsidRPr="003D77A3" w:rsidRDefault="00756BBB" w:rsidP="004240B1">
      <w:pPr>
        <w:pStyle w:val="ListParagraph"/>
        <w:ind w:left="-567" w:right="-284"/>
        <w:rPr>
          <w:rFonts w:ascii="Times New Roman" w:hAnsi="Times New Roman"/>
          <w:sz w:val="16"/>
          <w:szCs w:val="16"/>
        </w:rPr>
      </w:pP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5. Полученный в рамках доверительного управления Объектами дивидендный или процентный доход подлежит реинвестированию.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>6. С учетом ограничений на структуру Объектов</w:t>
      </w:r>
      <w:r>
        <w:rPr>
          <w:rFonts w:ascii="Times New Roman" w:hAnsi="Times New Roman"/>
        </w:rPr>
        <w:t>, установленную п. 5 настоящей инвестиционной декларации,</w:t>
      </w:r>
      <w:r w:rsidRPr="00E266EB">
        <w:rPr>
          <w:rFonts w:ascii="Times New Roman" w:hAnsi="Times New Roman"/>
        </w:rPr>
        <w:t xml:space="preserve"> в течение всего срока действия Договора У</w:t>
      </w:r>
      <w:r>
        <w:rPr>
          <w:rFonts w:ascii="Times New Roman" w:hAnsi="Times New Roman"/>
        </w:rPr>
        <w:t>правляющий вправе</w:t>
      </w:r>
      <w:r w:rsidRPr="00E266EB">
        <w:rPr>
          <w:rFonts w:ascii="Times New Roman" w:hAnsi="Times New Roman"/>
        </w:rPr>
        <w:t xml:space="preserve"> по своему усмотрению:  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>самостоятельно определять виды и количество Объе</w:t>
      </w:r>
      <w:r>
        <w:rPr>
          <w:rFonts w:ascii="Times New Roman" w:hAnsi="Times New Roman"/>
        </w:rPr>
        <w:t>ктов. В</w:t>
      </w:r>
      <w:r w:rsidRPr="00E266EB">
        <w:rPr>
          <w:rFonts w:ascii="Times New Roman" w:hAnsi="Times New Roman"/>
        </w:rPr>
        <w:t>ыбор Объектов для инвестирования основывается на соображениях максимального и устойчивого прироста стоимости Объектов;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совершать с Объектами биржевые и внебиржевые сделки, в том числе заключать биржевые и внебиржевые срочные договора (контракты); 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>приобретать ценные бумаги, допущенные и не допущенные к торгам организаторов торгов на рынке ценных бумаг, а также включенные и не включенные в котировальные списки фондовых бирж;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>приобретать в состав Объектов ценные бумаги при их первичном размещении;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>совершать с Объектами сделки прямого и обратного Р</w:t>
      </w:r>
      <w:r>
        <w:rPr>
          <w:rFonts w:ascii="Times New Roman" w:hAnsi="Times New Roman"/>
        </w:rPr>
        <w:t>ЕПО со сроком не более чем 30 (т</w:t>
      </w:r>
      <w:r w:rsidRPr="00E266EB">
        <w:rPr>
          <w:rFonts w:ascii="Times New Roman" w:hAnsi="Times New Roman"/>
        </w:rPr>
        <w:t>ридцать) календарных дней;</w:t>
      </w:r>
    </w:p>
    <w:p w:rsidR="00756BBB" w:rsidRPr="00657968" w:rsidRDefault="00756BBB" w:rsidP="00E266EB">
      <w:pPr>
        <w:pStyle w:val="ListParagraph"/>
        <w:widowControl w:val="0"/>
        <w:numPr>
          <w:ilvl w:val="0"/>
          <w:numId w:val="3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размещать Объекты во </w:t>
      </w:r>
      <w:r w:rsidRPr="00657968">
        <w:rPr>
          <w:rFonts w:ascii="Times New Roman" w:hAnsi="Times New Roman"/>
        </w:rPr>
        <w:t>вкладах в кредитных организациях на срок, не превышающий 3 (трех) календарных месяцев. Не допускает</w:t>
      </w:r>
      <w:r>
        <w:rPr>
          <w:rFonts w:ascii="Times New Roman" w:hAnsi="Times New Roman"/>
        </w:rPr>
        <w:t xml:space="preserve">ся размещение Объектов (денежных средств) </w:t>
      </w:r>
      <w:r w:rsidRPr="00657968">
        <w:rPr>
          <w:rFonts w:ascii="Times New Roman" w:hAnsi="Times New Roman"/>
        </w:rPr>
        <w:t xml:space="preserve">во вклады, срок возврата по которым не определен или определен моментом востребования. 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657968">
        <w:rPr>
          <w:rFonts w:ascii="Times New Roman" w:hAnsi="Times New Roman"/>
        </w:rPr>
        <w:t>7. Отраслевая принадлежность эмитентов, чьи ценные бумаги могут являться Объектами: электроэнергетика, металлургия, строительство</w:t>
      </w:r>
      <w:r w:rsidRPr="00E266EB">
        <w:rPr>
          <w:rFonts w:ascii="Times New Roman" w:hAnsi="Times New Roman"/>
        </w:rPr>
        <w:t xml:space="preserve">, транспорт, сельское хозяйство, общественное питание, телекоммуникации, финансовый сектор, машиностроение, приборостроение, торговля, по видам промышленности: нефтедобывающая, нефтеперерабатывающая, газовая, горнодобывающая, химическая, автомобильная, оборонная, авиационная, деревообрабатывающая, легкая, пищевая, медицинская, судостроительная, а также иная отраслевая принадлежность и виды промышленности по усмотрению Управляющего.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8. Уровень допустимых потерь (риска) составляет: ____ % (максимально приемлемое снижение стоимости Объектов).  </w:t>
      </w:r>
    </w:p>
    <w:p w:rsidR="00756BB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E266EB">
        <w:rPr>
          <w:rFonts w:ascii="Times New Roman" w:hAnsi="Times New Roman"/>
        </w:rPr>
        <w:t>При дост</w:t>
      </w:r>
      <w:r>
        <w:rPr>
          <w:rFonts w:ascii="Times New Roman" w:hAnsi="Times New Roman"/>
        </w:rPr>
        <w:t>ижении уровня допустимых потерь</w:t>
      </w:r>
      <w:r w:rsidRPr="00E266EB">
        <w:rPr>
          <w:rFonts w:ascii="Times New Roman" w:hAnsi="Times New Roman"/>
        </w:rPr>
        <w:t xml:space="preserve"> Управляющий обязуется связаться с Учредителем управления </w:t>
      </w:r>
      <w:r>
        <w:rPr>
          <w:rFonts w:ascii="Times New Roman" w:hAnsi="Times New Roman"/>
        </w:rPr>
        <w:t xml:space="preserve">по контактам, указанным в Договоре, </w:t>
      </w:r>
      <w:r w:rsidRPr="00E266EB">
        <w:rPr>
          <w:rFonts w:ascii="Times New Roman" w:hAnsi="Times New Roman"/>
        </w:rPr>
        <w:t xml:space="preserve">с целью согласования </w:t>
      </w:r>
      <w:r>
        <w:rPr>
          <w:rFonts w:ascii="Times New Roman" w:hAnsi="Times New Roman"/>
        </w:rPr>
        <w:t xml:space="preserve">с ним </w:t>
      </w:r>
      <w:r w:rsidRPr="00E266EB">
        <w:rPr>
          <w:rFonts w:ascii="Times New Roman" w:hAnsi="Times New Roman"/>
        </w:rPr>
        <w:t>дальнейших действий Управляющего, связанных с доверительным управлением Объектами. В случае если по каким-либо причинам (не з</w:t>
      </w:r>
      <w:r>
        <w:rPr>
          <w:rFonts w:ascii="Times New Roman" w:hAnsi="Times New Roman"/>
        </w:rPr>
        <w:t>ависящим от воли Управляющего)</w:t>
      </w:r>
      <w:r w:rsidRPr="00E266EB">
        <w:rPr>
          <w:rFonts w:ascii="Times New Roman" w:hAnsi="Times New Roman"/>
        </w:rPr>
        <w:t xml:space="preserve"> Управляющий не может оперативно связаться с Учредителем управления, Объекты, находящиеся в доверительном управлении, реализуются на организованном рынке на следующий рабочий день по </w:t>
      </w:r>
      <w:r>
        <w:rPr>
          <w:rFonts w:ascii="Times New Roman" w:hAnsi="Times New Roman"/>
        </w:rPr>
        <w:t>рыночным ценам</w:t>
      </w:r>
      <w:r w:rsidRPr="00E266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266EB">
        <w:rPr>
          <w:rFonts w:ascii="Times New Roman" w:hAnsi="Times New Roman"/>
        </w:rPr>
        <w:t xml:space="preserve">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9. В случае нарушения Управляющим любого из согласованных с Учредителем </w:t>
      </w:r>
      <w:r>
        <w:rPr>
          <w:rFonts w:ascii="Times New Roman" w:hAnsi="Times New Roman"/>
        </w:rPr>
        <w:t>управления условий в настоящей инвестиционной декларации, У</w:t>
      </w:r>
      <w:r w:rsidRPr="00E266EB">
        <w:rPr>
          <w:rFonts w:ascii="Times New Roman" w:hAnsi="Times New Roman"/>
        </w:rPr>
        <w:t>правляющий обязан устранить такое нарушение в течение: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4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(т</w:t>
      </w:r>
      <w:r w:rsidRPr="00E266EB">
        <w:rPr>
          <w:rFonts w:ascii="Times New Roman" w:hAnsi="Times New Roman"/>
        </w:rPr>
        <w:t>ридцати) дней с момента наступления нарушения, если такое нарушение не является результатом действий Управляющего</w:t>
      </w:r>
      <w:r w:rsidRPr="008209A1">
        <w:rPr>
          <w:rFonts w:ascii="Times New Roman" w:hAnsi="Times New Roman"/>
        </w:rPr>
        <w:t>;</w:t>
      </w:r>
    </w:p>
    <w:p w:rsidR="00756BBB" w:rsidRPr="00E266EB" w:rsidRDefault="00756BBB" w:rsidP="00E266EB">
      <w:pPr>
        <w:pStyle w:val="ListParagraph"/>
        <w:widowControl w:val="0"/>
        <w:numPr>
          <w:ilvl w:val="0"/>
          <w:numId w:val="4"/>
        </w:numPr>
        <w:spacing w:before="120" w:after="0"/>
        <w:ind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(п</w:t>
      </w:r>
      <w:r w:rsidRPr="00E266EB">
        <w:rPr>
          <w:rFonts w:ascii="Times New Roman" w:hAnsi="Times New Roman"/>
        </w:rPr>
        <w:t xml:space="preserve">яти) рабочих дней с момента наступления нарушения, если такое нарушение является результатом действий Управляющего. 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10. Положения настоящей и</w:t>
      </w:r>
      <w:r w:rsidRPr="00E266EB">
        <w:rPr>
          <w:rFonts w:ascii="Times New Roman" w:hAnsi="Times New Roman"/>
        </w:rPr>
        <w:t xml:space="preserve">нвестиционной декларации являются действующими и обязательными для Управляющего в течение </w:t>
      </w:r>
      <w:r>
        <w:rPr>
          <w:rFonts w:ascii="Times New Roman" w:hAnsi="Times New Roman"/>
        </w:rPr>
        <w:t xml:space="preserve">всего </w:t>
      </w:r>
      <w:r w:rsidRPr="00E266EB">
        <w:rPr>
          <w:rFonts w:ascii="Times New Roman" w:hAnsi="Times New Roman"/>
        </w:rPr>
        <w:t xml:space="preserve">срока действия Договора. </w:t>
      </w:r>
    </w:p>
    <w:p w:rsidR="00756BBB" w:rsidRPr="00E266EB" w:rsidRDefault="00756BBB" w:rsidP="00E266EB">
      <w:pPr>
        <w:pStyle w:val="ListParagraph"/>
        <w:widowControl w:val="0"/>
        <w:spacing w:before="120" w:after="0"/>
        <w:ind w:left="-567" w:right="-284"/>
        <w:contextualSpacing w:val="0"/>
        <w:rPr>
          <w:rFonts w:ascii="Times New Roman" w:hAnsi="Times New Roman"/>
        </w:rPr>
      </w:pPr>
      <w:r w:rsidRPr="00E266E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E266EB">
        <w:rPr>
          <w:rFonts w:ascii="Times New Roman" w:hAnsi="Times New Roman"/>
        </w:rPr>
        <w:t xml:space="preserve">Изменение условий </w:t>
      </w:r>
      <w:r>
        <w:rPr>
          <w:rFonts w:ascii="Times New Roman" w:hAnsi="Times New Roman"/>
        </w:rPr>
        <w:t>настоящей и</w:t>
      </w:r>
      <w:r w:rsidRPr="00E266EB">
        <w:rPr>
          <w:rFonts w:ascii="Times New Roman" w:hAnsi="Times New Roman"/>
        </w:rPr>
        <w:t xml:space="preserve">нвестиционной декларации производится по согласованию Сторон путем заключения дополнительного соглашения к Договору, которым Стороны </w:t>
      </w:r>
      <w:r>
        <w:rPr>
          <w:rFonts w:ascii="Times New Roman" w:hAnsi="Times New Roman"/>
        </w:rPr>
        <w:t>утверждают и подписывают новую и</w:t>
      </w:r>
      <w:r w:rsidRPr="00E266EB">
        <w:rPr>
          <w:rFonts w:ascii="Times New Roman" w:hAnsi="Times New Roman"/>
        </w:rPr>
        <w:t>нвестиционную декларацию либо внос</w:t>
      </w:r>
      <w:r>
        <w:rPr>
          <w:rFonts w:ascii="Times New Roman" w:hAnsi="Times New Roman"/>
        </w:rPr>
        <w:t>ят изменения в уже действующую и</w:t>
      </w:r>
      <w:r w:rsidRPr="00E266EB">
        <w:rPr>
          <w:rFonts w:ascii="Times New Roman" w:hAnsi="Times New Roman"/>
        </w:rPr>
        <w:t>нвестиционную декларацию.</w:t>
      </w:r>
    </w:p>
    <w:p w:rsidR="00756BBB" w:rsidRPr="006043D3" w:rsidRDefault="00756BBB" w:rsidP="006043D3">
      <w:pPr>
        <w:widowControl w:val="0"/>
        <w:spacing w:before="120"/>
        <w:ind w:left="-567" w:right="-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Исполнение условий и</w:t>
      </w:r>
      <w:r w:rsidRPr="00E266EB">
        <w:rPr>
          <w:b/>
          <w:i/>
          <w:sz w:val="22"/>
          <w:szCs w:val="22"/>
        </w:rPr>
        <w:t xml:space="preserve">нвестиционной декларации Учредитель управления и Управляющий считают проявлением должной заботливости и осмотрительности об интересах Учредителя управления или указанного им лица (выгодоприобретателя). </w:t>
      </w:r>
    </w:p>
    <w:p w:rsidR="00756BBB" w:rsidRPr="00260005" w:rsidRDefault="00756BBB" w:rsidP="00E266EB">
      <w:pPr>
        <w:widowControl w:val="0"/>
        <w:autoSpaceDE w:val="0"/>
        <w:autoSpaceDN w:val="0"/>
        <w:adjustRightInd w:val="0"/>
        <w:spacing w:before="120"/>
        <w:ind w:left="-567" w:right="-284"/>
        <w:rPr>
          <w:color w:val="000000"/>
          <w:sz w:val="10"/>
          <w:szCs w:val="10"/>
        </w:rPr>
      </w:pPr>
    </w:p>
    <w:p w:rsidR="00756BBB" w:rsidRPr="00E266EB" w:rsidRDefault="00756BBB" w:rsidP="00E266EB">
      <w:pPr>
        <w:widowControl w:val="0"/>
        <w:autoSpaceDE w:val="0"/>
        <w:autoSpaceDN w:val="0"/>
        <w:adjustRightInd w:val="0"/>
        <w:spacing w:before="120"/>
        <w:ind w:left="-567" w:right="-284"/>
        <w:rPr>
          <w:color w:val="000000"/>
          <w:sz w:val="22"/>
          <w:szCs w:val="22"/>
        </w:rPr>
      </w:pPr>
      <w:r w:rsidRPr="00E266EB">
        <w:rPr>
          <w:color w:val="000000"/>
          <w:sz w:val="22"/>
          <w:szCs w:val="22"/>
        </w:rPr>
        <w:t xml:space="preserve">Учредитель управления              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E266EB">
        <w:rPr>
          <w:color w:val="000000"/>
          <w:sz w:val="22"/>
          <w:szCs w:val="22"/>
        </w:rPr>
        <w:t>Управляющий</w:t>
      </w:r>
    </w:p>
    <w:p w:rsidR="00756BBB" w:rsidRPr="00B67474" w:rsidRDefault="00756BBB" w:rsidP="004240B1">
      <w:pPr>
        <w:autoSpaceDE w:val="0"/>
        <w:autoSpaceDN w:val="0"/>
        <w:adjustRightInd w:val="0"/>
        <w:ind w:left="-567" w:right="-284"/>
        <w:rPr>
          <w:color w:val="000000"/>
          <w:sz w:val="24"/>
          <w:szCs w:val="24"/>
        </w:rPr>
      </w:pPr>
    </w:p>
    <w:p w:rsidR="00756BBB" w:rsidRPr="00B67474" w:rsidRDefault="00756BBB" w:rsidP="004240B1">
      <w:pPr>
        <w:autoSpaceDE w:val="0"/>
        <w:autoSpaceDN w:val="0"/>
        <w:adjustRightInd w:val="0"/>
        <w:ind w:left="-567" w:right="-284"/>
        <w:rPr>
          <w:color w:val="000000"/>
          <w:sz w:val="24"/>
          <w:szCs w:val="24"/>
        </w:rPr>
      </w:pPr>
      <w:r w:rsidRPr="00B67474">
        <w:rPr>
          <w:color w:val="000000"/>
          <w:sz w:val="24"/>
          <w:szCs w:val="24"/>
        </w:rPr>
        <w:t xml:space="preserve">_________________                                                          </w:t>
      </w:r>
      <w:r>
        <w:rPr>
          <w:color w:val="000000"/>
          <w:sz w:val="24"/>
          <w:szCs w:val="24"/>
        </w:rPr>
        <w:t xml:space="preserve">                </w:t>
      </w:r>
      <w:r w:rsidRPr="00B67474">
        <w:rPr>
          <w:color w:val="000000"/>
          <w:sz w:val="24"/>
          <w:szCs w:val="24"/>
        </w:rPr>
        <w:t xml:space="preserve">_________________                  </w:t>
      </w:r>
    </w:p>
    <w:p w:rsidR="00756BBB" w:rsidRPr="004240B1" w:rsidRDefault="00756BBB" w:rsidP="004240B1">
      <w:pPr>
        <w:pStyle w:val="ListParagraph"/>
        <w:ind w:left="-567" w:right="-284"/>
        <w:rPr>
          <w:rFonts w:ascii="Times New Roman" w:hAnsi="Times New Roman"/>
          <w:sz w:val="16"/>
          <w:szCs w:val="16"/>
        </w:rPr>
      </w:pPr>
      <w:r w:rsidRPr="00B67474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B67474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Pr="00B67474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</w:t>
      </w:r>
      <w:r w:rsidRPr="00B67474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B67474">
        <w:rPr>
          <w:rFonts w:ascii="Times New Roman" w:hAnsi="Times New Roman"/>
          <w:color w:val="000000"/>
          <w:sz w:val="16"/>
          <w:szCs w:val="16"/>
        </w:rPr>
        <w:t xml:space="preserve"> М.П.                </w:t>
      </w:r>
    </w:p>
    <w:sectPr w:rsidR="00756BBB" w:rsidRPr="004240B1" w:rsidSect="00260005">
      <w:footerReference w:type="default" r:id="rId7"/>
      <w:pgSz w:w="11906" w:h="16838"/>
      <w:pgMar w:top="851" w:right="850" w:bottom="709" w:left="1701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BB" w:rsidRDefault="00756BBB" w:rsidP="004240B1">
      <w:r>
        <w:separator/>
      </w:r>
    </w:p>
  </w:endnote>
  <w:endnote w:type="continuationSeparator" w:id="1">
    <w:p w:rsidR="00756BBB" w:rsidRDefault="00756BBB" w:rsidP="0042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BB" w:rsidRDefault="00756BB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56BBB" w:rsidRDefault="00756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BB" w:rsidRDefault="00756BBB" w:rsidP="004240B1">
      <w:r>
        <w:separator/>
      </w:r>
    </w:p>
  </w:footnote>
  <w:footnote w:type="continuationSeparator" w:id="1">
    <w:p w:rsidR="00756BBB" w:rsidRDefault="00756BBB" w:rsidP="004240B1">
      <w:r>
        <w:continuationSeparator/>
      </w:r>
    </w:p>
  </w:footnote>
  <w:footnote w:id="2">
    <w:p w:rsidR="00756BBB" w:rsidRDefault="00756BBB" w:rsidP="004240B1">
      <w:pPr>
        <w:pStyle w:val="FootnoteText"/>
        <w:widowControl w:val="0"/>
        <w:suppressAutoHyphens/>
        <w:ind w:left="-567" w:right="-284"/>
        <w:jc w:val="both"/>
      </w:pPr>
      <w:r w:rsidRPr="004B3904">
        <w:rPr>
          <w:rStyle w:val="FootnoteReference"/>
          <w:sz w:val="16"/>
          <w:szCs w:val="16"/>
        </w:rPr>
        <w:t>1</w:t>
      </w:r>
      <w:r w:rsidRPr="004B3904">
        <w:rPr>
          <w:sz w:val="16"/>
          <w:szCs w:val="16"/>
        </w:rPr>
        <w:t xml:space="preserve"> Доля каждого из объектов доверительного управления может быть определена как максимальное значение доли объекта в портфеле или как диапазон значений, допустимый для объекта.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6FF"/>
    <w:multiLevelType w:val="hybridMultilevel"/>
    <w:tmpl w:val="304EA41E"/>
    <w:lvl w:ilvl="0" w:tplc="637260AC">
      <w:start w:val="4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279D6EF2"/>
    <w:multiLevelType w:val="hybridMultilevel"/>
    <w:tmpl w:val="35603400"/>
    <w:lvl w:ilvl="0" w:tplc="0F78CA4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90B1390"/>
    <w:multiLevelType w:val="hybridMultilevel"/>
    <w:tmpl w:val="41C6B06A"/>
    <w:lvl w:ilvl="0" w:tplc="0F78CA4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5BE5AE3"/>
    <w:multiLevelType w:val="hybridMultilevel"/>
    <w:tmpl w:val="3C863CEE"/>
    <w:lvl w:ilvl="0" w:tplc="97EE115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B1"/>
    <w:rsid w:val="0004331B"/>
    <w:rsid w:val="00051C39"/>
    <w:rsid w:val="00051FC8"/>
    <w:rsid w:val="000D2F76"/>
    <w:rsid w:val="000E351B"/>
    <w:rsid w:val="000E6B47"/>
    <w:rsid w:val="001B527F"/>
    <w:rsid w:val="00260005"/>
    <w:rsid w:val="002B3F97"/>
    <w:rsid w:val="00364EE9"/>
    <w:rsid w:val="00386E19"/>
    <w:rsid w:val="003D77A3"/>
    <w:rsid w:val="004240B1"/>
    <w:rsid w:val="004B3904"/>
    <w:rsid w:val="00517988"/>
    <w:rsid w:val="0056535C"/>
    <w:rsid w:val="00566F22"/>
    <w:rsid w:val="006043D3"/>
    <w:rsid w:val="00657968"/>
    <w:rsid w:val="006B198A"/>
    <w:rsid w:val="006C2A8C"/>
    <w:rsid w:val="00722211"/>
    <w:rsid w:val="00741970"/>
    <w:rsid w:val="00756BBB"/>
    <w:rsid w:val="007F3B24"/>
    <w:rsid w:val="008209A1"/>
    <w:rsid w:val="00843FBE"/>
    <w:rsid w:val="008C07FB"/>
    <w:rsid w:val="0093369C"/>
    <w:rsid w:val="009F293F"/>
    <w:rsid w:val="00A00B45"/>
    <w:rsid w:val="00A47397"/>
    <w:rsid w:val="00A53905"/>
    <w:rsid w:val="00A57A1C"/>
    <w:rsid w:val="00A83DDC"/>
    <w:rsid w:val="00AB63E4"/>
    <w:rsid w:val="00B67474"/>
    <w:rsid w:val="00C2509F"/>
    <w:rsid w:val="00C8717E"/>
    <w:rsid w:val="00CF0256"/>
    <w:rsid w:val="00D268BE"/>
    <w:rsid w:val="00D37DB2"/>
    <w:rsid w:val="00DA6584"/>
    <w:rsid w:val="00E07B3F"/>
    <w:rsid w:val="00E266EB"/>
    <w:rsid w:val="00E87BFB"/>
    <w:rsid w:val="00EE2B7C"/>
    <w:rsid w:val="00EF38CE"/>
    <w:rsid w:val="00F46C0F"/>
    <w:rsid w:val="00F63C8D"/>
    <w:rsid w:val="00F700BE"/>
    <w:rsid w:val="00F70182"/>
    <w:rsid w:val="00F71931"/>
    <w:rsid w:val="00F833EA"/>
    <w:rsid w:val="00F9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B1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0B1"/>
    <w:pPr>
      <w:keepNext/>
      <w:tabs>
        <w:tab w:val="left" w:pos="5103"/>
      </w:tabs>
      <w:ind w:left="567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240B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40B1"/>
    <w:pPr>
      <w:spacing w:after="120"/>
      <w:ind w:left="720" w:right="-6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40B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40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40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240B1"/>
    <w:pPr>
      <w:ind w:left="-567" w:right="-6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00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000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600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00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899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Dmitriy</dc:creator>
  <cp:keywords/>
  <dc:description/>
  <cp:lastModifiedBy>Андрей</cp:lastModifiedBy>
  <cp:revision>3</cp:revision>
  <dcterms:created xsi:type="dcterms:W3CDTF">2014-06-29T05:40:00Z</dcterms:created>
  <dcterms:modified xsi:type="dcterms:W3CDTF">2014-06-29T06:19:00Z</dcterms:modified>
</cp:coreProperties>
</file>